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A9C71" w14:textId="77777777" w:rsidR="00906C20" w:rsidRPr="007C7707" w:rsidRDefault="00000000" w:rsidP="003C7ED5">
      <w:pPr>
        <w:spacing w:before="240"/>
        <w:jc w:val="center"/>
        <w:rPr>
          <w:rFonts w:cs="Times New Roman"/>
          <w:b/>
          <w:bCs/>
          <w:caps/>
          <w:sz w:val="22"/>
        </w:rPr>
      </w:pPr>
      <w:r w:rsidRPr="007C7707">
        <w:rPr>
          <w:rFonts w:cs="Times New Roman"/>
          <w:b/>
          <w:bCs/>
          <w:caps/>
          <w:sz w:val="22"/>
        </w:rPr>
        <w:t>Determinazione N. </w:t>
      </w:r>
      <w:bookmarkStart w:id="0" w:name="numero_det"/>
      <w:r w:rsidRPr="007C7707">
        <w:rPr>
          <w:rFonts w:cs="Times New Roman"/>
          <w:b/>
          <w:bCs/>
          <w:caps/>
          <w:sz w:val="22"/>
        </w:rPr>
        <w:t>770</w:t>
      </w:r>
      <w:bookmarkEnd w:id="0"/>
      <w:r w:rsidR="009B160A" w:rsidRPr="007C7707">
        <w:rPr>
          <w:rFonts w:cs="Times New Roman"/>
          <w:b/>
          <w:bCs/>
          <w:caps/>
          <w:sz w:val="22"/>
        </w:rPr>
        <w:t xml:space="preserve"> DEL </w:t>
      </w:r>
      <w:bookmarkStart w:id="1" w:name="data_determina"/>
      <w:r w:rsidRPr="007C7707">
        <w:rPr>
          <w:rFonts w:cs="Times New Roman"/>
          <w:b/>
          <w:bCs/>
          <w:caps/>
          <w:sz w:val="22"/>
        </w:rPr>
        <w:t>11/08/2025</w:t>
      </w:r>
      <w:bookmarkEnd w:id="1"/>
    </w:p>
    <w:p w14:paraId="1870A37F" w14:textId="77777777" w:rsidR="00906C20" w:rsidRDefault="00000000" w:rsidP="00B87DB8">
      <w:pPr>
        <w:tabs>
          <w:tab w:val="left" w:pos="1134"/>
        </w:tabs>
        <w:spacing w:before="600" w:after="360"/>
        <w:ind w:left="1134" w:hanging="1134"/>
        <w:rPr>
          <w:rFonts w:cs="Times New Roman"/>
          <w:bCs/>
          <w:szCs w:val="18"/>
        </w:rPr>
      </w:pPr>
      <w:r w:rsidRPr="00D76E3D">
        <w:rPr>
          <w:rFonts w:cs="Times New Roman"/>
          <w:b/>
          <w:bCs/>
          <w:szCs w:val="18"/>
        </w:rPr>
        <w:t>OGGETTO</w:t>
      </w:r>
      <w:r w:rsidR="008A0A95">
        <w:rPr>
          <w:rFonts w:cs="Times New Roman"/>
          <w:bCs/>
          <w:szCs w:val="18"/>
        </w:rPr>
        <w:t>:</w:t>
      </w:r>
      <w:r w:rsidR="008A0A95">
        <w:rPr>
          <w:rFonts w:cs="Times New Roman"/>
          <w:bCs/>
          <w:szCs w:val="18"/>
        </w:rPr>
        <w:tab/>
      </w:r>
      <w:bookmarkStart w:id="2" w:name="oggetto"/>
      <w:r w:rsidRPr="00D76E3D">
        <w:rPr>
          <w:rFonts w:cs="Times New Roman"/>
          <w:bCs/>
          <w:szCs w:val="18"/>
        </w:rPr>
        <w:t>CONTRARRE E PRENOTAZIONE - La LOCANDA DEL BUONGUSTAIO SRLS - Servizio di business lunch da erogarsi in occasione dell’Incontro AGCOM-CORECOM Sardegna previsto per l’8 settembre 2025 - Affidamento diretto ai sensi dell'art. 50, comma 1, lett. b) del D.lgs.36/2024 e successive modifiche e integrazioni</w:t>
      </w:r>
      <w:bookmarkEnd w:id="2"/>
    </w:p>
    <w:tbl>
      <w:tblPr>
        <w:tblStyle w:val="Grigliatabella"/>
        <w:tblW w:w="9570" w:type="dxa"/>
        <w:jc w:val="center"/>
        <w:tblLook w:val="04A0" w:firstRow="1" w:lastRow="0" w:firstColumn="1" w:lastColumn="0" w:noHBand="0" w:noVBand="1"/>
      </w:tblPr>
      <w:tblGrid>
        <w:gridCol w:w="1355"/>
        <w:gridCol w:w="2608"/>
        <w:gridCol w:w="1159"/>
        <w:gridCol w:w="1159"/>
        <w:gridCol w:w="1191"/>
        <w:gridCol w:w="948"/>
        <w:gridCol w:w="1150"/>
      </w:tblGrid>
      <w:tr w:rsidR="00D11089" w14:paraId="6B6EAAFC" w14:textId="77777777" w:rsidTr="00D67738">
        <w:trPr>
          <w:jc w:val="center"/>
        </w:trPr>
        <w:tc>
          <w:tcPr>
            <w:tcW w:w="1355" w:type="dxa"/>
            <w:vAlign w:val="center"/>
          </w:tcPr>
          <w:p w14:paraId="343D1023" w14:textId="77777777" w:rsidR="00FA20BA" w:rsidRPr="0079670A" w:rsidRDefault="00000000" w:rsidP="001B2EB7">
            <w:pPr>
              <w:tabs>
                <w:tab w:val="left" w:pos="1134"/>
              </w:tabs>
              <w:spacing w:before="0"/>
              <w:jc w:val="center"/>
              <w:rPr>
                <w:rFonts w:cs="Times New Roman"/>
                <w:bCs/>
                <w:sz w:val="14"/>
                <w:szCs w:val="14"/>
              </w:rPr>
            </w:pPr>
            <w:r w:rsidRPr="0079670A">
              <w:rPr>
                <w:rFonts w:cs="Times New Roman"/>
                <w:bCs/>
                <w:sz w:val="14"/>
                <w:szCs w:val="14"/>
              </w:rPr>
              <w:t>Capitolo</w:t>
            </w:r>
          </w:p>
        </w:tc>
        <w:tc>
          <w:tcPr>
            <w:tcW w:w="2608" w:type="dxa"/>
            <w:vAlign w:val="center"/>
          </w:tcPr>
          <w:p w14:paraId="25A0CFC1" w14:textId="77777777" w:rsidR="00FA20BA" w:rsidRPr="0079670A" w:rsidRDefault="00000000" w:rsidP="001B2EB7">
            <w:pPr>
              <w:tabs>
                <w:tab w:val="left" w:pos="1134"/>
              </w:tabs>
              <w:spacing w:before="0"/>
              <w:jc w:val="center"/>
              <w:rPr>
                <w:rFonts w:cs="Times New Roman"/>
                <w:bCs/>
                <w:sz w:val="14"/>
                <w:szCs w:val="14"/>
              </w:rPr>
            </w:pPr>
            <w:r w:rsidRPr="0079670A">
              <w:rPr>
                <w:rFonts w:cs="Times New Roman"/>
                <w:bCs/>
                <w:sz w:val="14"/>
                <w:szCs w:val="14"/>
              </w:rPr>
              <w:t>Descrizione</w:t>
            </w:r>
          </w:p>
        </w:tc>
        <w:tc>
          <w:tcPr>
            <w:tcW w:w="1159" w:type="dxa"/>
            <w:vAlign w:val="center"/>
          </w:tcPr>
          <w:p w14:paraId="254EEC11" w14:textId="77777777" w:rsidR="00FA20BA" w:rsidRPr="0079670A" w:rsidRDefault="00000000" w:rsidP="001B2EB7">
            <w:pPr>
              <w:tabs>
                <w:tab w:val="left" w:pos="1134"/>
              </w:tabs>
              <w:spacing w:before="0"/>
              <w:jc w:val="center"/>
              <w:rPr>
                <w:rFonts w:cs="Times New Roman"/>
                <w:bCs/>
                <w:sz w:val="14"/>
                <w:szCs w:val="14"/>
              </w:rPr>
            </w:pPr>
            <w:r w:rsidRPr="0079670A">
              <w:rPr>
                <w:rFonts w:cs="Times New Roman"/>
                <w:bCs/>
                <w:sz w:val="14"/>
                <w:szCs w:val="14"/>
              </w:rPr>
              <w:t>N.</w:t>
            </w:r>
            <w:r w:rsidRPr="0079670A">
              <w:rPr>
                <w:rFonts w:cs="Times New Roman"/>
                <w:bCs/>
                <w:sz w:val="14"/>
                <w:szCs w:val="14"/>
              </w:rPr>
              <w:br/>
              <w:t>Prenotazione</w:t>
            </w:r>
          </w:p>
        </w:tc>
        <w:tc>
          <w:tcPr>
            <w:tcW w:w="1159" w:type="dxa"/>
            <w:vAlign w:val="center"/>
          </w:tcPr>
          <w:p w14:paraId="5FC3108E" w14:textId="77777777" w:rsidR="00FA20BA" w:rsidRPr="0079670A" w:rsidRDefault="00000000" w:rsidP="001B2EB7">
            <w:pPr>
              <w:tabs>
                <w:tab w:val="left" w:pos="1134"/>
              </w:tabs>
              <w:spacing w:before="0"/>
              <w:jc w:val="center"/>
              <w:rPr>
                <w:rFonts w:cs="Times New Roman"/>
                <w:bCs/>
                <w:sz w:val="14"/>
                <w:szCs w:val="14"/>
              </w:rPr>
            </w:pPr>
            <w:r w:rsidRPr="0079670A">
              <w:rPr>
                <w:rFonts w:cs="Times New Roman"/>
                <w:bCs/>
                <w:sz w:val="14"/>
                <w:szCs w:val="14"/>
              </w:rPr>
              <w:t>Anno</w:t>
            </w:r>
            <w:r w:rsidRPr="0079670A">
              <w:rPr>
                <w:rFonts w:cs="Times New Roman"/>
                <w:bCs/>
                <w:sz w:val="14"/>
                <w:szCs w:val="14"/>
              </w:rPr>
              <w:br/>
              <w:t>Prenotazione</w:t>
            </w:r>
          </w:p>
        </w:tc>
        <w:tc>
          <w:tcPr>
            <w:tcW w:w="1191" w:type="dxa"/>
            <w:vAlign w:val="center"/>
          </w:tcPr>
          <w:p w14:paraId="595F0342" w14:textId="77777777" w:rsidR="00FA20BA" w:rsidRPr="0079670A" w:rsidRDefault="00000000" w:rsidP="001B2EB7">
            <w:pPr>
              <w:tabs>
                <w:tab w:val="left" w:pos="1134"/>
              </w:tabs>
              <w:spacing w:before="0"/>
              <w:jc w:val="center"/>
              <w:rPr>
                <w:rFonts w:cs="Times New Roman"/>
                <w:bCs/>
                <w:sz w:val="14"/>
                <w:szCs w:val="14"/>
              </w:rPr>
            </w:pPr>
            <w:r w:rsidRPr="0079670A">
              <w:rPr>
                <w:rFonts w:cs="Times New Roman"/>
                <w:bCs/>
                <w:sz w:val="14"/>
                <w:szCs w:val="14"/>
              </w:rPr>
              <w:t>Importo</w:t>
            </w:r>
          </w:p>
        </w:tc>
        <w:tc>
          <w:tcPr>
            <w:tcW w:w="948" w:type="dxa"/>
            <w:vAlign w:val="center"/>
          </w:tcPr>
          <w:p w14:paraId="2D0CD57E" w14:textId="77777777" w:rsidR="00FA20BA" w:rsidRPr="0079670A" w:rsidRDefault="00000000" w:rsidP="001B2EB7">
            <w:pPr>
              <w:tabs>
                <w:tab w:val="left" w:pos="1134"/>
              </w:tabs>
              <w:spacing w:before="0"/>
              <w:jc w:val="center"/>
              <w:rPr>
                <w:rFonts w:cs="Times New Roman"/>
                <w:bCs/>
                <w:sz w:val="14"/>
                <w:szCs w:val="14"/>
              </w:rPr>
            </w:pPr>
            <w:r w:rsidRPr="0079670A">
              <w:rPr>
                <w:rFonts w:cs="Times New Roman"/>
                <w:bCs/>
                <w:sz w:val="14"/>
                <w:szCs w:val="14"/>
              </w:rPr>
              <w:t>Annualità</w:t>
            </w:r>
          </w:p>
        </w:tc>
        <w:tc>
          <w:tcPr>
            <w:tcW w:w="1150" w:type="dxa"/>
            <w:vAlign w:val="center"/>
          </w:tcPr>
          <w:p w14:paraId="6067066F" w14:textId="77777777" w:rsidR="00FA20BA" w:rsidRPr="0079670A" w:rsidRDefault="00000000" w:rsidP="001B2EB7">
            <w:pPr>
              <w:tabs>
                <w:tab w:val="left" w:pos="1134"/>
              </w:tabs>
              <w:spacing w:before="0"/>
              <w:jc w:val="center"/>
              <w:rPr>
                <w:rFonts w:cs="Times New Roman"/>
                <w:bCs/>
                <w:sz w:val="14"/>
                <w:szCs w:val="14"/>
              </w:rPr>
            </w:pPr>
            <w:r w:rsidRPr="0079670A">
              <w:rPr>
                <w:rFonts w:cs="Times New Roman"/>
                <w:bCs/>
                <w:sz w:val="14"/>
                <w:szCs w:val="14"/>
              </w:rPr>
              <w:t>CIG</w:t>
            </w:r>
          </w:p>
        </w:tc>
      </w:tr>
      <w:tr w:rsidR="00D11089" w14:paraId="23E3D8C5" w14:textId="77777777" w:rsidTr="00D67738">
        <w:trPr>
          <w:trHeight w:val="227"/>
          <w:jc w:val="center"/>
        </w:trPr>
        <w:tc>
          <w:tcPr>
            <w:tcW w:w="1355" w:type="dxa"/>
            <w:vAlign w:val="center"/>
          </w:tcPr>
          <w:p w14:paraId="0FA27D83" w14:textId="77777777" w:rsidR="00FA20BA" w:rsidRPr="00125CFE" w:rsidRDefault="00000000" w:rsidP="007F63CC">
            <w:pPr>
              <w:tabs>
                <w:tab w:val="left" w:pos="1134"/>
              </w:tabs>
              <w:spacing w:before="0"/>
              <w:rPr>
                <w:rFonts w:cs="Times New Roman"/>
                <w:bCs/>
                <w:sz w:val="16"/>
                <w:szCs w:val="16"/>
              </w:rPr>
            </w:pPr>
            <w:r w:rsidRPr="00125CFE">
              <w:rPr>
                <w:rFonts w:cs="Times New Roman"/>
                <w:bCs/>
                <w:sz w:val="16"/>
                <w:szCs w:val="16"/>
              </w:rPr>
              <w:t>01011.03.5136</w:t>
            </w:r>
          </w:p>
        </w:tc>
        <w:tc>
          <w:tcPr>
            <w:tcW w:w="2608" w:type="dxa"/>
            <w:vAlign w:val="center"/>
          </w:tcPr>
          <w:p w14:paraId="67B5B6B8" w14:textId="77777777" w:rsidR="00FA20BA" w:rsidRPr="00A34DC1" w:rsidRDefault="00000000" w:rsidP="007F63CC">
            <w:pPr>
              <w:tabs>
                <w:tab w:val="left" w:pos="1134"/>
              </w:tabs>
              <w:spacing w:before="0"/>
              <w:rPr>
                <w:rFonts w:cs="Times New Roman"/>
                <w:bCs/>
                <w:sz w:val="14"/>
                <w:szCs w:val="14"/>
              </w:rPr>
            </w:pPr>
            <w:r w:rsidRPr="00A34DC1">
              <w:rPr>
                <w:rFonts w:cs="Times New Roman"/>
                <w:bCs/>
                <w:sz w:val="14"/>
                <w:szCs w:val="14"/>
              </w:rPr>
              <w:t xml:space="preserve">Organizzazione eventi, pubblicità e servizi per trasferta - CORECOM </w:t>
            </w:r>
          </w:p>
        </w:tc>
        <w:tc>
          <w:tcPr>
            <w:tcW w:w="1159" w:type="dxa"/>
            <w:vAlign w:val="center"/>
          </w:tcPr>
          <w:p w14:paraId="412FB086" w14:textId="77777777" w:rsidR="00FA20BA" w:rsidRPr="00125CFE" w:rsidRDefault="00000000" w:rsidP="007F63CC">
            <w:pPr>
              <w:tabs>
                <w:tab w:val="left" w:pos="1134"/>
              </w:tabs>
              <w:spacing w:before="0"/>
              <w:jc w:val="center"/>
              <w:rPr>
                <w:rFonts w:cs="Times New Roman"/>
                <w:bCs/>
                <w:sz w:val="16"/>
                <w:szCs w:val="16"/>
              </w:rPr>
            </w:pPr>
            <w:r w:rsidRPr="00125CFE">
              <w:rPr>
                <w:rFonts w:cs="Times New Roman"/>
                <w:bCs/>
                <w:sz w:val="16"/>
                <w:szCs w:val="16"/>
              </w:rPr>
              <w:t>533</w:t>
            </w:r>
          </w:p>
        </w:tc>
        <w:tc>
          <w:tcPr>
            <w:tcW w:w="1159" w:type="dxa"/>
            <w:vAlign w:val="center"/>
          </w:tcPr>
          <w:p w14:paraId="5D93CBEF" w14:textId="77777777" w:rsidR="00FA20BA" w:rsidRPr="00125CFE" w:rsidRDefault="00000000" w:rsidP="007F63CC">
            <w:pPr>
              <w:tabs>
                <w:tab w:val="left" w:pos="1134"/>
              </w:tabs>
              <w:spacing w:before="0"/>
              <w:jc w:val="center"/>
              <w:rPr>
                <w:rFonts w:cs="Times New Roman"/>
                <w:bCs/>
                <w:sz w:val="16"/>
                <w:szCs w:val="16"/>
              </w:rPr>
            </w:pPr>
            <w:r w:rsidRPr="00125CFE">
              <w:rPr>
                <w:rFonts w:cs="Times New Roman"/>
                <w:bCs/>
                <w:sz w:val="16"/>
                <w:szCs w:val="16"/>
              </w:rPr>
              <w:t>2025</w:t>
            </w:r>
          </w:p>
        </w:tc>
        <w:tc>
          <w:tcPr>
            <w:tcW w:w="1191" w:type="dxa"/>
            <w:vAlign w:val="center"/>
          </w:tcPr>
          <w:p w14:paraId="0A038611" w14:textId="77777777" w:rsidR="00FA20BA" w:rsidRPr="00125CFE" w:rsidRDefault="00000000" w:rsidP="007F63CC">
            <w:pPr>
              <w:tabs>
                <w:tab w:val="left" w:pos="1134"/>
              </w:tabs>
              <w:spacing w:before="0"/>
              <w:jc w:val="right"/>
              <w:rPr>
                <w:rFonts w:cs="Times New Roman"/>
                <w:bCs/>
                <w:sz w:val="16"/>
                <w:szCs w:val="16"/>
              </w:rPr>
            </w:pPr>
            <w:r w:rsidRPr="00125CFE">
              <w:rPr>
                <w:rFonts w:cs="Times New Roman"/>
                <w:bCs/>
                <w:sz w:val="16"/>
                <w:szCs w:val="16"/>
              </w:rPr>
              <w:t>750,00</w:t>
            </w:r>
          </w:p>
        </w:tc>
        <w:tc>
          <w:tcPr>
            <w:tcW w:w="948" w:type="dxa"/>
            <w:vAlign w:val="center"/>
          </w:tcPr>
          <w:p w14:paraId="443ADF6A" w14:textId="77777777" w:rsidR="00FA20BA" w:rsidRPr="00125CFE" w:rsidRDefault="00000000" w:rsidP="007F63CC">
            <w:pPr>
              <w:tabs>
                <w:tab w:val="left" w:pos="1134"/>
              </w:tabs>
              <w:spacing w:before="0"/>
              <w:jc w:val="center"/>
              <w:rPr>
                <w:rFonts w:cs="Times New Roman"/>
                <w:bCs/>
                <w:sz w:val="16"/>
                <w:szCs w:val="16"/>
              </w:rPr>
            </w:pPr>
            <w:r w:rsidRPr="00125CFE">
              <w:rPr>
                <w:rFonts w:cs="Times New Roman"/>
                <w:bCs/>
                <w:sz w:val="16"/>
                <w:szCs w:val="16"/>
              </w:rPr>
              <w:t>2025</w:t>
            </w:r>
          </w:p>
        </w:tc>
        <w:tc>
          <w:tcPr>
            <w:tcW w:w="1150" w:type="dxa"/>
            <w:vAlign w:val="center"/>
          </w:tcPr>
          <w:p w14:paraId="2199C9EA" w14:textId="77777777" w:rsidR="00FA20BA" w:rsidRPr="00125CFE" w:rsidRDefault="00000000" w:rsidP="007F63CC">
            <w:pPr>
              <w:tabs>
                <w:tab w:val="left" w:pos="1134"/>
              </w:tabs>
              <w:spacing w:before="0"/>
              <w:jc w:val="center"/>
              <w:rPr>
                <w:rFonts w:cs="Times New Roman"/>
                <w:bCs/>
                <w:sz w:val="16"/>
                <w:szCs w:val="16"/>
              </w:rPr>
            </w:pPr>
            <w:r w:rsidRPr="00125CFE">
              <w:rPr>
                <w:rFonts w:cs="Times New Roman"/>
                <w:bCs/>
                <w:sz w:val="16"/>
                <w:szCs w:val="16"/>
              </w:rPr>
              <w:t xml:space="preserve"> </w:t>
            </w:r>
          </w:p>
        </w:tc>
      </w:tr>
    </w:tbl>
    <w:p w14:paraId="76FFD155" w14:textId="77777777" w:rsidR="00B67226" w:rsidRPr="00F478F8" w:rsidRDefault="00000000" w:rsidP="00401DA6">
      <w:pPr>
        <w:spacing w:before="720" w:after="480"/>
        <w:jc w:val="center"/>
        <w:rPr>
          <w:rFonts w:cs="Times New Roman"/>
          <w:b/>
          <w:bCs/>
          <w:szCs w:val="18"/>
        </w:rPr>
      </w:pPr>
      <w:r>
        <w:rPr>
          <w:rFonts w:cs="Times New Roman"/>
          <w:b/>
          <w:bCs/>
          <w:szCs w:val="18"/>
        </w:rPr>
        <w:t>IL CAPO SERVIZIO</w:t>
      </w:r>
    </w:p>
    <w:p w14:paraId="4F0EACEE" w14:textId="77777777" w:rsidR="00330495" w:rsidRPr="00861FEA" w:rsidRDefault="00000000" w:rsidP="00330495">
      <w:pPr>
        <w:pStyle w:val="DGServp1"/>
        <w:tabs>
          <w:tab w:val="left" w:pos="22113"/>
        </w:tabs>
        <w:spacing w:before="120" w:after="0" w:line="240" w:lineRule="auto"/>
        <w:jc w:val="both"/>
        <w:rPr>
          <w:rFonts w:ascii="Arial" w:hAnsi="Arial" w:cs="Arial"/>
          <w:szCs w:val="18"/>
        </w:rPr>
      </w:pPr>
      <w:bookmarkStart w:id="3" w:name="testo"/>
      <w:r w:rsidRPr="00861FEA">
        <w:rPr>
          <w:rFonts w:ascii="Arial" w:hAnsi="Arial" w:cs="Arial"/>
          <w:szCs w:val="18"/>
        </w:rPr>
        <w:t>VISTA la Legge costituzionale 26 febbraio 1948, n. 3 (Statuto speciale per la Sardegna), e le relative norme di attuazione;</w:t>
      </w:r>
    </w:p>
    <w:p w14:paraId="010CF477"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VISTO il Regolamento interno del Consiglio regionale della Sardegna;</w:t>
      </w:r>
    </w:p>
    <w:p w14:paraId="690B3013"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VISTA la Legge 13 agosto 2010, n. 136 (Piano straordinario contro le mafie, nonché delega al Governo in materia di normativa antimafia), e successive modifiche e integrazioni;</w:t>
      </w:r>
    </w:p>
    <w:p w14:paraId="6D40479B"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VISTO il D.lgs. 23 giugno 2011, n. 118 (Disposizioni in materia di armonizzazione dei sistemi contabili e degli schemi di bilancio delle Regioni, degli enti locali e dei loro organismi, a norma degli articoli 1 e 2 della legge 5 maggio 2009, n. 42), e successive modificazioni e integrazioni;</w:t>
      </w:r>
    </w:p>
    <w:p w14:paraId="5607F088"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VISTO il D.lgs. 31 marzo 2023, n. 36 (Codice dei contratti pubblici in attuazione dell'articolo 1 della legge 21 giugno 2022, n. 78, recante delega al Governo in materia di contratti pubblici);</w:t>
      </w:r>
    </w:p>
    <w:p w14:paraId="09A3688D"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VISTO il Regolamento dei Servizi approvato dall’Ufficio di Presidenza con deliberazione n. 127 del 20 luglio 2016 e successive modificazioni e integrazioni;</w:t>
      </w:r>
    </w:p>
    <w:p w14:paraId="5CEEA636"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VISTA la deliberazione dell’Ufficio di Presidenza n. 56 del 21 maggio 2025 con la quale è stato conferito l’incarico di Capo Servizio delle Autorità di Garanzia alla dott.ssa Caterina Piras, resa esecutiva con decreto del Presidente n. 11 del 10 giugno 2025;</w:t>
      </w:r>
    </w:p>
    <w:p w14:paraId="4A6B6046"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VISTO il Regolamento interno di contabilità e amministrazione approvato dall’Ufficio di Presidenza con deliberazione n. 289 del 7 febbraio 2019 e successive modificazioni e integrazioni;</w:t>
      </w:r>
    </w:p>
    <w:p w14:paraId="14594489"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VISTO il bilancio di previsione del Consiglio regionale della Sardegna per gli anni 2025-2027 approvato dal Consiglio regionale in seduta n. 40 del 17 dicembre 2024 (Doc. 12/XVII/A);</w:t>
      </w:r>
    </w:p>
    <w:p w14:paraId="3FA6ECD9"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VISTO il documento tecnico di accompagnamento al bilancio di previsione del Consiglio regionale della Sardegna per gli anni 2025-2027 approvato dall’Ufficio di Presidenza con deliberazione n. 33 del 19 dicembre 2024;</w:t>
      </w:r>
    </w:p>
    <w:p w14:paraId="01D919B3"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VISTO il bilancio finanziario gestionale del Consiglio regionale della Sardegna per gli anni 2025-2027 adottato dal Segretario generale con decreto n. 45 del 19 dicembre 2024;</w:t>
      </w:r>
    </w:p>
    <w:p w14:paraId="00BBABD7"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VISTO il Regolamento per la disciplina delle spese di rappresentanza del Consiglio regionale nonché di quelle connesse all’organizzazione, da parte del Consiglio, di convegni, seminari, mostre, celebrazioni e ricorrenze approvato dall’Ufficio di Presidenza con deliberazione n. 27 del 21 novembre 2024 per il quale le spese per manifestazioni ed eventi organizzati dal Co.re.com vengono disposte dallo stesso Co.re.com, nei limiti delle risorse finanziarie stanziate e nel rispetto dei principi previsti dal predetto Regolamento;</w:t>
      </w:r>
    </w:p>
    <w:p w14:paraId="3ABC1958"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Vista la comunicazione pervenuta via e-mail in data 2 luglio 2025 (prot. 9174) dall’Autorità per le garanzie nelle comunicazioni (AGCOM) con la quale viene comunicata la visita di tre rappresentanti dell’Autorità prevista nelle date 8-9 settembre p.v.;</w:t>
      </w:r>
    </w:p>
    <w:p w14:paraId="5D252552" w14:textId="77777777" w:rsidR="006B38C7" w:rsidRPr="006B38C7" w:rsidRDefault="00000000" w:rsidP="006B38C7">
      <w:pPr>
        <w:pStyle w:val="DGServp1"/>
        <w:tabs>
          <w:tab w:val="left" w:pos="22113"/>
        </w:tabs>
        <w:spacing w:before="120"/>
        <w:rPr>
          <w:rFonts w:ascii="Arial" w:hAnsi="Arial" w:cs="Arial"/>
          <w:szCs w:val="18"/>
        </w:rPr>
      </w:pPr>
      <w:r w:rsidRPr="006B38C7">
        <w:rPr>
          <w:rFonts w:ascii="Arial" w:hAnsi="Arial" w:cs="Arial"/>
          <w:szCs w:val="18"/>
        </w:rPr>
        <w:t>VISTE le note:</w:t>
      </w:r>
    </w:p>
    <w:p w14:paraId="75159826" w14:textId="77777777" w:rsidR="006B38C7" w:rsidRPr="006B38C7" w:rsidRDefault="00000000" w:rsidP="006B38C7">
      <w:pPr>
        <w:pStyle w:val="DGServp1"/>
        <w:numPr>
          <w:ilvl w:val="0"/>
          <w:numId w:val="1"/>
        </w:numPr>
        <w:tabs>
          <w:tab w:val="left" w:pos="22113"/>
        </w:tabs>
        <w:spacing w:before="120"/>
        <w:ind w:left="284" w:hanging="284"/>
        <w:jc w:val="both"/>
        <w:rPr>
          <w:rFonts w:ascii="Arial" w:hAnsi="Arial" w:cs="Arial"/>
          <w:szCs w:val="18"/>
        </w:rPr>
      </w:pPr>
      <w:r w:rsidRPr="006B38C7">
        <w:rPr>
          <w:rFonts w:ascii="Arial" w:hAnsi="Arial" w:cs="Arial"/>
          <w:szCs w:val="18"/>
        </w:rPr>
        <w:t xml:space="preserve">prot. n. 9169 del 7 agosto 2025 di convocazione del Comitato regionale per le comunicazioni della Regione Autonoma della Sardegna (CORECOM), per il giorno lunedì 8 settembre 2025 dalle ore 13:00 alle ore 14:00 e dalle </w:t>
      </w:r>
      <w:r w:rsidRPr="006B38C7">
        <w:rPr>
          <w:rFonts w:ascii="Arial" w:hAnsi="Arial" w:cs="Arial"/>
          <w:szCs w:val="18"/>
        </w:rPr>
        <w:lastRenderedPageBreak/>
        <w:t>ore 15:30 a fine lavori, che annovera tra i punti all’ordine del giorno l’incontro con i Dirigenti AGCOM al fine di illustrare lo stato dell’arte delle attività delegate;</w:t>
      </w:r>
    </w:p>
    <w:p w14:paraId="587AD015" w14:textId="77777777" w:rsidR="006B38C7" w:rsidRPr="006B38C7" w:rsidRDefault="00000000" w:rsidP="006B38C7">
      <w:pPr>
        <w:pStyle w:val="DGServp1"/>
        <w:numPr>
          <w:ilvl w:val="0"/>
          <w:numId w:val="1"/>
        </w:numPr>
        <w:tabs>
          <w:tab w:val="left" w:pos="22113"/>
        </w:tabs>
        <w:spacing w:before="120"/>
        <w:ind w:left="284" w:hanging="284"/>
        <w:jc w:val="both"/>
        <w:rPr>
          <w:rFonts w:ascii="Arial" w:hAnsi="Arial" w:cs="Arial"/>
          <w:szCs w:val="18"/>
        </w:rPr>
      </w:pPr>
      <w:r w:rsidRPr="006B38C7">
        <w:rPr>
          <w:rFonts w:ascii="Arial" w:hAnsi="Arial" w:cs="Arial"/>
          <w:szCs w:val="18"/>
        </w:rPr>
        <w:t>prot. n. 9171 del 7 agosto 2025 con la quale il Presidente del Corecom, in occasione dell’incontro AGCOM-Corecom Sardegna, previsto per il giorno 8 settembre p.v., ai sensi dell’art. 9 del sopra citato Regolamento approvato con deliberazione U.P. n. 27 del 21/11/2024,  richiede di porre in essere gli adempimenti necessari all’organizzazione, durante la pausa tra la sessione mattiniera e quella pomeridiana della predetta riunione, di un pranzo di networking con  la delegazione AGCOM, per un numero stimato di 15 persone, che contempla una previsione di spesa di euro 750,00;</w:t>
      </w:r>
    </w:p>
    <w:p w14:paraId="7A8D8D38"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VISTO l’unico preventivo pervenuto acquisito con nota prot. n. 9165 del 7 agosto 2025 dell’operatore economico La Locanda del Buongustaio srls, con sede in via Concezione 7, Cagliari (CF/P.IVA 04000080921), all’esito di un’indagine di mercato che ha coinvolti due operatori economici dislocati in prossimità della sede del Consiglio regionale;</w:t>
      </w:r>
    </w:p>
    <w:p w14:paraId="236F8426"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VISTA la richiesta d’acquisto del 7 agosto 2025 del Presidente del Corecom Sardegna, ai sensi dell’articolo 9 del Regolamento per la disciplina delle spese di rappresentanza del Consiglio regionale nonché di quelle connesse all’organizzazione, da parte del Consiglio, di convegni, seminari, mostre, celebrazioni e ricorrenze, approvato dall’Ufficio di Presidenza con deliberazione n. 27 del 21 novembre 2024, per il servizio di business lunch per un massimo di n. 15 persone di importo pari a 750,00 euro, iva inclusa;</w:t>
      </w:r>
    </w:p>
    <w:p w14:paraId="082D6160"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DATO ATTO che l’importo stimato per l’affidamento in oggetto è di euro 750,00 (IVA inclusa) e che le citate risorse finanziarie sono a valere sul capitolo 5136 (Organizzazione eventi, pubblicità e servizi per trasferta - CORECOM) del bilancio interno del Consiglio che presenta la necessaria disponibilità;</w:t>
      </w:r>
    </w:p>
    <w:p w14:paraId="4FFD62DC"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CONSIDERATO che è necessario procedere alla prenotazione dell’impegno di spesa sul capitolo 5136, con imputazione all’anno 2025 per un importo di euro 750,00;</w:t>
      </w:r>
    </w:p>
    <w:p w14:paraId="46C67A99"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DATO ATTO che la prestazione in oggetto non riveste un interesse transfrontaliero certo ex articolo 48, comma 2, D.lgs. n. 36/23 in ragione del modesto valore, particolarmente distante dalla soglia comunitaria stessa;</w:t>
      </w:r>
    </w:p>
    <w:p w14:paraId="475A0FE8"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CONSIDERATO che risulta applicabile l’articolo 50, comma 1, lettera b), del D.lgs. n. 36/2023, e che, pertanto, si propone l’affidamento diretto;</w:t>
      </w:r>
    </w:p>
    <w:p w14:paraId="65210654"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CONSIDERATO che si provvederà a richiedere l’apposito CIG;</w:t>
      </w:r>
    </w:p>
    <w:p w14:paraId="3EFCB68F"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DATO ATTO che, per l’avvio immediato dell’esecuzione del contratto, gli operatori economici sottoscriveranno il patto di integrità e attesteranno, con dichiarazioni rese ai sensi degli articoli 46 e 47 del DPR n. 445/2000, il possesso dei requisiti soggettivi di partecipazione che confluiranno nel procedimento di sorteggio a campione per le verifiche con modalità predeterminate con decreto del Segretario generale n. 71/2023;</w:t>
      </w:r>
    </w:p>
    <w:p w14:paraId="7FF450F4"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DATO ATTO dell’adempimento degli obblighi di trasparenza previsti dal D.lgs. 14 marzo 2013, n. 33 (Riordino della disciplina riguardante il diritto di accesso civico e gli obblighi di pubblicità, trasparenza e diffusione di informazioni da parte delle pubbliche amministrazioni);</w:t>
      </w:r>
    </w:p>
    <w:p w14:paraId="5AD2AC02"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DATO ATTO di non trovarsi in situazione di conflitto d’interessi, anche potenziale, ai sensi dell’articolo 6 bis della Legge 7 agosto 1990, n. 241 (Nuove norme in materia di procedimento amministrativo e di diritto di accesso ai documenti amministrativi) e dell’articolo 7 del Codice di comportamento dei dipendenti del Consiglio regionale della Sardegna, approvato con la deliberazione dell’Ufficio di Presidenza n. 213 del 30 novembre 2022 e successive modifiche;</w:t>
      </w:r>
    </w:p>
    <w:p w14:paraId="5F1D9CDF" w14:textId="77777777" w:rsidR="006B38C7" w:rsidRPr="006B38C7" w:rsidRDefault="00000000" w:rsidP="006B38C7">
      <w:pPr>
        <w:pStyle w:val="DGServp1"/>
        <w:tabs>
          <w:tab w:val="left" w:pos="22113"/>
        </w:tabs>
        <w:spacing w:before="120"/>
        <w:jc w:val="both"/>
        <w:rPr>
          <w:rFonts w:ascii="Arial" w:hAnsi="Arial" w:cs="Arial"/>
          <w:szCs w:val="18"/>
        </w:rPr>
      </w:pPr>
      <w:r w:rsidRPr="006B38C7">
        <w:rPr>
          <w:rFonts w:ascii="Arial" w:hAnsi="Arial" w:cs="Arial"/>
          <w:szCs w:val="18"/>
        </w:rPr>
        <w:t>ATTESTATA la regolarità e correttezza dell’azione amministrativa e la sua conformità alla vigente normativa,</w:t>
      </w:r>
    </w:p>
    <w:p w14:paraId="0E17F02E" w14:textId="77777777" w:rsidR="006B38C7" w:rsidRPr="006B38C7" w:rsidRDefault="00000000" w:rsidP="006B38C7">
      <w:pPr>
        <w:pStyle w:val="DGServp1"/>
        <w:tabs>
          <w:tab w:val="left" w:pos="22113"/>
        </w:tabs>
        <w:spacing w:before="120"/>
        <w:jc w:val="center"/>
        <w:rPr>
          <w:rFonts w:ascii="Arial" w:hAnsi="Arial" w:cs="Arial"/>
          <w:b/>
          <w:bCs/>
          <w:szCs w:val="18"/>
        </w:rPr>
      </w:pPr>
      <w:r w:rsidRPr="006B38C7">
        <w:rPr>
          <w:rFonts w:ascii="Arial" w:hAnsi="Arial" w:cs="Arial"/>
          <w:b/>
          <w:bCs/>
          <w:szCs w:val="18"/>
        </w:rPr>
        <w:t>DETERMINA</w:t>
      </w:r>
    </w:p>
    <w:p w14:paraId="4765CE08" w14:textId="77777777" w:rsidR="006B38C7" w:rsidRPr="006B38C7" w:rsidRDefault="00000000" w:rsidP="006B38C7">
      <w:pPr>
        <w:pStyle w:val="DGServp1"/>
        <w:numPr>
          <w:ilvl w:val="0"/>
          <w:numId w:val="2"/>
        </w:numPr>
        <w:tabs>
          <w:tab w:val="left" w:pos="22113"/>
        </w:tabs>
        <w:spacing w:before="120"/>
        <w:ind w:left="284" w:hanging="284"/>
        <w:rPr>
          <w:rFonts w:ascii="Arial" w:hAnsi="Arial" w:cs="Arial"/>
          <w:szCs w:val="18"/>
        </w:rPr>
      </w:pPr>
      <w:r w:rsidRPr="006B38C7">
        <w:rPr>
          <w:rFonts w:ascii="Arial" w:hAnsi="Arial" w:cs="Arial"/>
          <w:szCs w:val="18"/>
        </w:rPr>
        <w:t>per le motivazioni sopra esposte, che si richiamano nel presente dispositivo, di procedere, ai sensi dell’articolo 50, comma 1, lettera b), D.lgs. n. 36/2023, all’affidamento diretto alla società La Locanda del Buongustaio srls, con sede legale in via Concezione n. 7, Cagliari (CF/P.IVA 04000080921), il servizio di business lunch per un massimo di n. 15 persone per un importo pari a 750,00 euro, IVA inclusa;</w:t>
      </w:r>
    </w:p>
    <w:p w14:paraId="279DE106" w14:textId="77777777" w:rsidR="006B38C7" w:rsidRPr="006B38C7" w:rsidRDefault="00000000" w:rsidP="006B38C7">
      <w:pPr>
        <w:pStyle w:val="DGServp1"/>
        <w:numPr>
          <w:ilvl w:val="0"/>
          <w:numId w:val="2"/>
        </w:numPr>
        <w:tabs>
          <w:tab w:val="left" w:pos="22113"/>
        </w:tabs>
        <w:spacing w:before="120"/>
        <w:ind w:left="284" w:hanging="284"/>
        <w:rPr>
          <w:rFonts w:ascii="Arial" w:hAnsi="Arial" w:cs="Arial"/>
          <w:szCs w:val="18"/>
        </w:rPr>
      </w:pPr>
      <w:r w:rsidRPr="006B38C7">
        <w:rPr>
          <w:rFonts w:ascii="Arial" w:hAnsi="Arial" w:cs="Arial"/>
          <w:szCs w:val="18"/>
        </w:rPr>
        <w:t>di prenotare la somma di euro 750,00 (IVA inclusa) a favore delle suddette società, imputandola all’esercizio del bilancio finanziario gestionale 2025-2027 in cui l’obbligazione giuridicamente perfezionata viene a scadenza secondo quanto riportato nella tabella in oggetto;</w:t>
      </w:r>
    </w:p>
    <w:p w14:paraId="6ECE6E08" w14:textId="77777777" w:rsidR="006B38C7" w:rsidRPr="006B38C7" w:rsidRDefault="00000000" w:rsidP="006B38C7">
      <w:pPr>
        <w:pStyle w:val="DGServp1"/>
        <w:numPr>
          <w:ilvl w:val="0"/>
          <w:numId w:val="2"/>
        </w:numPr>
        <w:tabs>
          <w:tab w:val="left" w:pos="22113"/>
        </w:tabs>
        <w:spacing w:before="120"/>
        <w:ind w:left="284" w:hanging="284"/>
        <w:rPr>
          <w:rFonts w:ascii="Arial" w:hAnsi="Arial" w:cs="Arial"/>
          <w:szCs w:val="18"/>
        </w:rPr>
      </w:pPr>
      <w:r w:rsidRPr="006B38C7">
        <w:rPr>
          <w:rFonts w:ascii="Arial" w:hAnsi="Arial" w:cs="Arial"/>
          <w:szCs w:val="18"/>
        </w:rPr>
        <w:t>3.che il Responsabile unico del progetto di cui all’articolo 15 del D.lgs. n. 36/2023 è il Capo Servizio delle Autorità di Garanzia, dott.ssa Caterina Piras;</w:t>
      </w:r>
    </w:p>
    <w:p w14:paraId="0060145C" w14:textId="77777777" w:rsidR="00776C09" w:rsidRPr="00861FEA" w:rsidRDefault="00000000" w:rsidP="006B38C7">
      <w:pPr>
        <w:pStyle w:val="DGServp1"/>
        <w:numPr>
          <w:ilvl w:val="0"/>
          <w:numId w:val="2"/>
        </w:numPr>
        <w:tabs>
          <w:tab w:val="left" w:pos="22113"/>
        </w:tabs>
        <w:spacing w:before="120" w:after="0" w:line="240" w:lineRule="auto"/>
        <w:ind w:left="284" w:hanging="284"/>
        <w:jc w:val="both"/>
        <w:rPr>
          <w:rFonts w:ascii="Arial" w:hAnsi="Arial" w:cs="Arial"/>
          <w:szCs w:val="18"/>
        </w:rPr>
      </w:pPr>
      <w:r w:rsidRPr="006B38C7">
        <w:rPr>
          <w:rFonts w:ascii="Arial" w:hAnsi="Arial" w:cs="Arial"/>
          <w:szCs w:val="18"/>
        </w:rPr>
        <w:t>di trasmettere la presente determinazione al Servizio Finanziario per il controllo preventivo di regolarità contabile.</w:t>
      </w:r>
    </w:p>
    <w:bookmarkEnd w:id="3"/>
    <w:p w14:paraId="00F9ACD2" w14:textId="77777777" w:rsidR="003900A5" w:rsidRPr="00D76E3D" w:rsidRDefault="003900A5" w:rsidP="00DB4169">
      <w:pPr>
        <w:rPr>
          <w:szCs w:val="18"/>
        </w:rPr>
      </w:pPr>
    </w:p>
    <w:tbl>
      <w:tblPr>
        <w:tblStyle w:val="Grigliatabella"/>
        <w:tblW w:w="107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1701"/>
        <w:gridCol w:w="4535"/>
      </w:tblGrid>
      <w:tr w:rsidR="00D11089" w14:paraId="3A1122E4" w14:textId="77777777" w:rsidTr="009B3BBC">
        <w:trPr>
          <w:trHeight w:val="283"/>
          <w:jc w:val="center"/>
        </w:trPr>
        <w:tc>
          <w:tcPr>
            <w:tcW w:w="4535" w:type="dxa"/>
          </w:tcPr>
          <w:p w14:paraId="0567ABE4" w14:textId="77777777" w:rsidR="009B3BBC" w:rsidRPr="00D76E3D" w:rsidRDefault="00000000" w:rsidP="00B87DB8">
            <w:pPr>
              <w:widowControl w:val="0"/>
              <w:spacing w:before="360"/>
              <w:jc w:val="center"/>
              <w:rPr>
                <w:rFonts w:eastAsia="Times New Roman"/>
                <w:szCs w:val="18"/>
                <w:lang w:eastAsia="it-IT"/>
              </w:rPr>
            </w:pPr>
            <w:bookmarkStart w:id="4" w:name="titolo_firma_seg"/>
            <w:r>
              <w:rPr>
                <w:rFonts w:eastAsia="Times New Roman"/>
                <w:szCs w:val="18"/>
                <w:lang w:eastAsia="it-IT"/>
              </w:rPr>
              <w:t xml:space="preserve">   </w:t>
            </w:r>
            <w:bookmarkEnd w:id="4"/>
          </w:p>
        </w:tc>
        <w:tc>
          <w:tcPr>
            <w:tcW w:w="1701" w:type="dxa"/>
          </w:tcPr>
          <w:p w14:paraId="753A0322" w14:textId="77777777" w:rsidR="009B3BBC" w:rsidRPr="00D76E3D" w:rsidRDefault="009B3BBC" w:rsidP="00B87DB8">
            <w:pPr>
              <w:widowControl w:val="0"/>
              <w:spacing w:before="360"/>
              <w:jc w:val="center"/>
              <w:rPr>
                <w:rFonts w:eastAsia="Times New Roman"/>
                <w:szCs w:val="18"/>
                <w:lang w:eastAsia="it-IT"/>
              </w:rPr>
            </w:pPr>
          </w:p>
        </w:tc>
        <w:tc>
          <w:tcPr>
            <w:tcW w:w="4535" w:type="dxa"/>
          </w:tcPr>
          <w:p w14:paraId="4D972271" w14:textId="77777777" w:rsidR="009B3BBC" w:rsidRPr="00D76E3D" w:rsidRDefault="00000000" w:rsidP="00B87DB8">
            <w:pPr>
              <w:widowControl w:val="0"/>
              <w:spacing w:before="360"/>
              <w:jc w:val="center"/>
              <w:rPr>
                <w:rFonts w:eastAsia="Times New Roman"/>
                <w:szCs w:val="18"/>
                <w:lang w:eastAsia="it-IT"/>
              </w:rPr>
            </w:pPr>
            <w:bookmarkStart w:id="5" w:name="titolo"/>
            <w:r w:rsidRPr="00D76E3D">
              <w:rPr>
                <w:rFonts w:eastAsia="Times New Roman"/>
                <w:szCs w:val="18"/>
                <w:lang w:eastAsia="it-IT"/>
              </w:rPr>
              <w:t>CAPO SERVIZIO</w:t>
            </w:r>
            <w:bookmarkEnd w:id="5"/>
          </w:p>
        </w:tc>
      </w:tr>
      <w:tr w:rsidR="00D11089" w14:paraId="1BDB86D7" w14:textId="77777777" w:rsidTr="009B3BBC">
        <w:trPr>
          <w:trHeight w:val="283"/>
          <w:jc w:val="center"/>
        </w:trPr>
        <w:tc>
          <w:tcPr>
            <w:tcW w:w="4535" w:type="dxa"/>
          </w:tcPr>
          <w:p w14:paraId="3E745680" w14:textId="77777777" w:rsidR="009B3BBC" w:rsidRPr="00D76E3D" w:rsidRDefault="00000000" w:rsidP="00DB4169">
            <w:pPr>
              <w:widowControl w:val="0"/>
              <w:spacing w:before="0"/>
              <w:jc w:val="center"/>
              <w:rPr>
                <w:rFonts w:eastAsia="Times New Roman"/>
                <w:szCs w:val="18"/>
                <w:lang w:eastAsia="it-IT"/>
              </w:rPr>
            </w:pPr>
            <w:bookmarkStart w:id="6" w:name="firma_seg"/>
            <w:r>
              <w:rPr>
                <w:rFonts w:eastAsia="Times New Roman"/>
                <w:szCs w:val="18"/>
                <w:lang w:eastAsia="it-IT"/>
              </w:rPr>
              <w:t xml:space="preserve">   </w:t>
            </w:r>
            <w:bookmarkEnd w:id="6"/>
          </w:p>
        </w:tc>
        <w:tc>
          <w:tcPr>
            <w:tcW w:w="1701" w:type="dxa"/>
          </w:tcPr>
          <w:p w14:paraId="102745E5" w14:textId="77777777" w:rsidR="009B3BBC" w:rsidRDefault="009B3BBC" w:rsidP="00DB4169">
            <w:pPr>
              <w:widowControl w:val="0"/>
              <w:spacing w:before="0"/>
              <w:jc w:val="center"/>
              <w:rPr>
                <w:rFonts w:eastAsia="Times New Roman"/>
                <w:szCs w:val="18"/>
                <w:lang w:eastAsia="it-IT"/>
              </w:rPr>
            </w:pPr>
          </w:p>
        </w:tc>
        <w:tc>
          <w:tcPr>
            <w:tcW w:w="4535" w:type="dxa"/>
          </w:tcPr>
          <w:p w14:paraId="4DB10A0E" w14:textId="77777777" w:rsidR="009B3BBC" w:rsidRPr="00D76E3D" w:rsidRDefault="00000000" w:rsidP="00DB4169">
            <w:pPr>
              <w:widowControl w:val="0"/>
              <w:spacing w:before="0"/>
              <w:jc w:val="center"/>
              <w:rPr>
                <w:rFonts w:eastAsia="Times New Roman"/>
                <w:szCs w:val="18"/>
                <w:lang w:eastAsia="it-IT"/>
              </w:rPr>
            </w:pPr>
            <w:bookmarkStart w:id="7" w:name="firma"/>
            <w:r>
              <w:rPr>
                <w:rFonts w:eastAsia="Times New Roman"/>
                <w:szCs w:val="18"/>
                <w:lang w:eastAsia="it-IT"/>
              </w:rPr>
              <w:t>PIRAS CATERINA / InfoCamere S.C.p.A.</w:t>
            </w:r>
            <w:bookmarkEnd w:id="7"/>
          </w:p>
        </w:tc>
      </w:tr>
    </w:tbl>
    <w:p w14:paraId="4FD0B215" w14:textId="77777777" w:rsidR="00906C20" w:rsidRDefault="00906C20" w:rsidP="00DB4169">
      <w:pPr>
        <w:spacing w:before="0"/>
        <w:rPr>
          <w:rFonts w:cs="Times New Roman"/>
          <w:i/>
        </w:rPr>
      </w:pPr>
    </w:p>
    <w:sectPr w:rsidR="00906C20">
      <w:footerReference w:type="default" r:id="rId8"/>
      <w:headerReference w:type="first" r:id="rId9"/>
      <w:footerReference w:type="first" r:id="rId10"/>
      <w:pgSz w:w="11906" w:h="16838"/>
      <w:pgMar w:top="1701" w:right="1134" w:bottom="1276" w:left="1134" w:header="454" w:footer="753" w:gutter="0"/>
      <w:cols w:space="720"/>
      <w:formProt w:val="0"/>
      <w:titlePg/>
      <w:docGrid w:linePitch="360" w:charSpace="37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551EF" w14:textId="77777777" w:rsidR="00F60ECC" w:rsidRDefault="00F60ECC">
      <w:pPr>
        <w:spacing w:before="0"/>
      </w:pPr>
      <w:r>
        <w:separator/>
      </w:r>
    </w:p>
  </w:endnote>
  <w:endnote w:type="continuationSeparator" w:id="0">
    <w:p w14:paraId="36616E64" w14:textId="77777777" w:rsidR="00F60ECC" w:rsidRDefault="00F60E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utura Std Book">
    <w:altName w:val="Century Gothic"/>
    <w:charset w:val="00"/>
    <w:family w:val="roman"/>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149192"/>
      <w:docPartObj>
        <w:docPartGallery w:val="Page Numbers (Bottom of Page)"/>
        <w:docPartUnique/>
      </w:docPartObj>
    </w:sdtPr>
    <w:sdtContent>
      <w:p w14:paraId="610968F5" w14:textId="77777777" w:rsidR="00906C20" w:rsidRDefault="00000000">
        <w:pPr>
          <w:pStyle w:val="Pidipagina"/>
          <w:jc w:val="right"/>
          <w:rPr>
            <w:rFonts w:cs="Times New Roman"/>
          </w:rPr>
        </w:pPr>
        <w:r>
          <w:rPr>
            <w:rFonts w:cs="Times New Roman"/>
          </w:rPr>
          <w:fldChar w:fldCharType="begin"/>
        </w:r>
        <w:r>
          <w:rPr>
            <w:rFonts w:cs="Times New Roman"/>
          </w:rPr>
          <w:instrText>PAGE</w:instrText>
        </w:r>
        <w:r>
          <w:rPr>
            <w:rFonts w:cs="Times New Roman"/>
          </w:rPr>
          <w:fldChar w:fldCharType="separate"/>
        </w:r>
        <w:r>
          <w:rPr>
            <w:rFonts w:cs="Times New Roman"/>
          </w:rPr>
          <w:t>1</w:t>
        </w:r>
        <w:r>
          <w:rPr>
            <w:rFonts w:cs="Times New Roman"/>
          </w:rPr>
          <w:fldChar w:fldCharType="end"/>
        </w:r>
        <w:r>
          <w:rPr>
            <w:rFonts w:cs="Times New Roman"/>
          </w:rPr>
          <w:t>/</w:t>
        </w:r>
        <w:r>
          <w:rPr>
            <w:rFonts w:cs="Times New Roman"/>
          </w:rPr>
          <w:fldChar w:fldCharType="begin"/>
        </w:r>
        <w:r>
          <w:rPr>
            <w:rFonts w:cs="Times New Roman"/>
          </w:rPr>
          <w:instrText xml:space="preserve"> NUMPAGES   \* MERGEFORMAT </w:instrText>
        </w:r>
        <w:r>
          <w:rPr>
            <w:rFonts w:cs="Times New Roman"/>
          </w:rPr>
          <w:fldChar w:fldCharType="separate"/>
        </w:r>
        <w:r>
          <w:rPr>
            <w:rFonts w:cs="Times New Roman"/>
          </w:rPr>
          <w:t>1</w:t>
        </w:r>
        <w:r>
          <w:rPr>
            <w:rFonts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59603"/>
      <w:docPartObj>
        <w:docPartGallery w:val="Page Numbers (Bottom of Page)"/>
        <w:docPartUnique/>
      </w:docPartObj>
    </w:sdtPr>
    <w:sdtContent>
      <w:p w14:paraId="1B5E7794" w14:textId="77777777" w:rsidR="00906C20" w:rsidRDefault="00000000">
        <w:pPr>
          <w:pStyle w:val="Pidipagina"/>
          <w:jc w:val="right"/>
          <w:rPr>
            <w:rFonts w:cs="Times New Roman"/>
          </w:rPr>
        </w:pPr>
        <w:r>
          <w:rPr>
            <w:rFonts w:cs="Times New Roman"/>
          </w:rPr>
          <w:fldChar w:fldCharType="begin"/>
        </w:r>
        <w:r>
          <w:rPr>
            <w:rFonts w:cs="Times New Roman"/>
          </w:rPr>
          <w:instrText>PAGE</w:instrText>
        </w:r>
        <w:r>
          <w:rPr>
            <w:rFonts w:cs="Times New Roman"/>
          </w:rPr>
          <w:fldChar w:fldCharType="separate"/>
        </w:r>
        <w:r>
          <w:rPr>
            <w:rFonts w:cs="Times New Roman"/>
          </w:rPr>
          <w:t>1</w:t>
        </w:r>
        <w:r>
          <w:rPr>
            <w:rFonts w:cs="Times New Roman"/>
          </w:rPr>
          <w:fldChar w:fldCharType="end"/>
        </w:r>
        <w:r>
          <w:rPr>
            <w:rFonts w:cs="Times New Roman"/>
          </w:rPr>
          <w:t>/</w:t>
        </w:r>
        <w:r>
          <w:rPr>
            <w:rFonts w:cs="Times New Roman"/>
          </w:rPr>
          <w:fldChar w:fldCharType="begin"/>
        </w:r>
        <w:r>
          <w:rPr>
            <w:rFonts w:cs="Times New Roman"/>
          </w:rPr>
          <w:instrText xml:space="preserve"> NUMPAGES   \* MERGEFORMAT </w:instrText>
        </w:r>
        <w:r>
          <w:rPr>
            <w:rFonts w:cs="Times New Roman"/>
          </w:rPr>
          <w:fldChar w:fldCharType="separate"/>
        </w:r>
        <w:r>
          <w:rPr>
            <w:rFonts w:cs="Times New Roman"/>
          </w:rPr>
          <w:t>1</w:t>
        </w:r>
        <w:r>
          <w:rPr>
            <w:rFonts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CA92F" w14:textId="77777777" w:rsidR="00F60ECC" w:rsidRDefault="00F60ECC">
      <w:pPr>
        <w:spacing w:before="0"/>
      </w:pPr>
      <w:r>
        <w:separator/>
      </w:r>
    </w:p>
  </w:footnote>
  <w:footnote w:type="continuationSeparator" w:id="0">
    <w:p w14:paraId="7CD5FD18" w14:textId="77777777" w:rsidR="00F60ECC" w:rsidRDefault="00F60EC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71585" w14:textId="77777777" w:rsidR="00906C20" w:rsidRDefault="00000000">
    <w:pPr>
      <w:jc w:val="center"/>
      <w:rPr>
        <w:kern w:val="2"/>
        <w:sz w:val="36"/>
        <w:szCs w:val="36"/>
      </w:rPr>
    </w:pPr>
    <w:r>
      <w:rPr>
        <w:noProof/>
        <w:lang w:eastAsia="it-IT"/>
      </w:rPr>
      <w:drawing>
        <wp:inline distT="0" distB="0" distL="0" distR="0" wp14:anchorId="046A775D" wp14:editId="0371D1FA">
          <wp:extent cx="275590" cy="313690"/>
          <wp:effectExtent l="0" t="0" r="0" b="0"/>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pic:cNvPicPr>
                    <a:picLocks noChangeAspect="1" noChangeArrowheads="1"/>
                  </pic:cNvPicPr>
                </pic:nvPicPr>
                <pic:blipFill>
                  <a:blip r:embed="rId1"/>
                  <a:stretch>
                    <a:fillRect/>
                  </a:stretch>
                </pic:blipFill>
                <pic:spPr bwMode="auto">
                  <a:xfrm>
                    <a:off x="0" y="0"/>
                    <a:ext cx="275590" cy="313690"/>
                  </a:xfrm>
                  <a:prstGeom prst="rect">
                    <a:avLst/>
                  </a:prstGeom>
                </pic:spPr>
              </pic:pic>
            </a:graphicData>
          </a:graphic>
        </wp:inline>
      </w:drawing>
    </w:r>
  </w:p>
  <w:p w14:paraId="0EE156BA" w14:textId="77777777" w:rsidR="00906C20" w:rsidRPr="00752A9A" w:rsidRDefault="00000000">
    <w:pPr>
      <w:pStyle w:val="Crs"/>
      <w:spacing w:after="0"/>
      <w:rPr>
        <w:rFonts w:ascii="Arial" w:hAnsi="Arial" w:cs="Arial"/>
        <w:b w:val="0"/>
        <w:spacing w:val="40"/>
        <w:sz w:val="36"/>
        <w:szCs w:val="36"/>
      </w:rPr>
    </w:pPr>
    <w:r w:rsidRPr="00752A9A">
      <w:rPr>
        <w:rFonts w:ascii="Arial" w:hAnsi="Arial" w:cs="Arial"/>
        <w:b w:val="0"/>
        <w:spacing w:val="40"/>
        <w:sz w:val="36"/>
        <w:szCs w:val="36"/>
      </w:rPr>
      <w:t>CONSIGLIO REGIONALE DELLA SARDEGNA</w:t>
    </w:r>
  </w:p>
  <w:p w14:paraId="75C8D504" w14:textId="77777777" w:rsidR="00906C20" w:rsidRPr="00752A9A" w:rsidRDefault="00000000">
    <w:pPr>
      <w:tabs>
        <w:tab w:val="center" w:pos="4535"/>
        <w:tab w:val="left" w:pos="6185"/>
      </w:tabs>
      <w:spacing w:after="480"/>
      <w:jc w:val="center"/>
      <w:rPr>
        <w:sz w:val="28"/>
        <w:szCs w:val="28"/>
      </w:rPr>
    </w:pPr>
    <w:bookmarkStart w:id="8" w:name="servizio_competente"/>
    <w:r w:rsidRPr="00752A9A">
      <w:rPr>
        <w:kern w:val="2"/>
        <w:sz w:val="28"/>
        <w:szCs w:val="28"/>
      </w:rPr>
      <w:t>Servizio delle Autorità di Garanzia</w: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04E"/>
    <w:multiLevelType w:val="hybridMultilevel"/>
    <w:tmpl w:val="693CAB94"/>
    <w:lvl w:ilvl="0" w:tplc="057A6354">
      <w:start w:val="1"/>
      <w:numFmt w:val="bullet"/>
      <w:lvlText w:val="-"/>
      <w:lvlJc w:val="left"/>
      <w:pPr>
        <w:ind w:left="720" w:hanging="360"/>
      </w:pPr>
      <w:rPr>
        <w:rFonts w:ascii="Arial" w:eastAsia="Times New Roman" w:hAnsi="Arial" w:cs="Arial" w:hint="default"/>
      </w:rPr>
    </w:lvl>
    <w:lvl w:ilvl="1" w:tplc="F370BEB0" w:tentative="1">
      <w:start w:val="1"/>
      <w:numFmt w:val="bullet"/>
      <w:lvlText w:val="o"/>
      <w:lvlJc w:val="left"/>
      <w:pPr>
        <w:ind w:left="1440" w:hanging="360"/>
      </w:pPr>
      <w:rPr>
        <w:rFonts w:ascii="Courier New" w:hAnsi="Courier New" w:cs="Courier New" w:hint="default"/>
      </w:rPr>
    </w:lvl>
    <w:lvl w:ilvl="2" w:tplc="F576385C" w:tentative="1">
      <w:start w:val="1"/>
      <w:numFmt w:val="bullet"/>
      <w:lvlText w:val=""/>
      <w:lvlJc w:val="left"/>
      <w:pPr>
        <w:ind w:left="2160" w:hanging="360"/>
      </w:pPr>
      <w:rPr>
        <w:rFonts w:ascii="Wingdings" w:hAnsi="Wingdings" w:hint="default"/>
      </w:rPr>
    </w:lvl>
    <w:lvl w:ilvl="3" w:tplc="925C6E9A" w:tentative="1">
      <w:start w:val="1"/>
      <w:numFmt w:val="bullet"/>
      <w:lvlText w:val=""/>
      <w:lvlJc w:val="left"/>
      <w:pPr>
        <w:ind w:left="2880" w:hanging="360"/>
      </w:pPr>
      <w:rPr>
        <w:rFonts w:ascii="Symbol" w:hAnsi="Symbol" w:hint="default"/>
      </w:rPr>
    </w:lvl>
    <w:lvl w:ilvl="4" w:tplc="A9025702" w:tentative="1">
      <w:start w:val="1"/>
      <w:numFmt w:val="bullet"/>
      <w:lvlText w:val="o"/>
      <w:lvlJc w:val="left"/>
      <w:pPr>
        <w:ind w:left="3600" w:hanging="360"/>
      </w:pPr>
      <w:rPr>
        <w:rFonts w:ascii="Courier New" w:hAnsi="Courier New" w:cs="Courier New" w:hint="default"/>
      </w:rPr>
    </w:lvl>
    <w:lvl w:ilvl="5" w:tplc="4CFCD212" w:tentative="1">
      <w:start w:val="1"/>
      <w:numFmt w:val="bullet"/>
      <w:lvlText w:val=""/>
      <w:lvlJc w:val="left"/>
      <w:pPr>
        <w:ind w:left="4320" w:hanging="360"/>
      </w:pPr>
      <w:rPr>
        <w:rFonts w:ascii="Wingdings" w:hAnsi="Wingdings" w:hint="default"/>
      </w:rPr>
    </w:lvl>
    <w:lvl w:ilvl="6" w:tplc="8A8A729C" w:tentative="1">
      <w:start w:val="1"/>
      <w:numFmt w:val="bullet"/>
      <w:lvlText w:val=""/>
      <w:lvlJc w:val="left"/>
      <w:pPr>
        <w:ind w:left="5040" w:hanging="360"/>
      </w:pPr>
      <w:rPr>
        <w:rFonts w:ascii="Symbol" w:hAnsi="Symbol" w:hint="default"/>
      </w:rPr>
    </w:lvl>
    <w:lvl w:ilvl="7" w:tplc="3A6EF884" w:tentative="1">
      <w:start w:val="1"/>
      <w:numFmt w:val="bullet"/>
      <w:lvlText w:val="o"/>
      <w:lvlJc w:val="left"/>
      <w:pPr>
        <w:ind w:left="5760" w:hanging="360"/>
      </w:pPr>
      <w:rPr>
        <w:rFonts w:ascii="Courier New" w:hAnsi="Courier New" w:cs="Courier New" w:hint="default"/>
      </w:rPr>
    </w:lvl>
    <w:lvl w:ilvl="8" w:tplc="697ACBF8" w:tentative="1">
      <w:start w:val="1"/>
      <w:numFmt w:val="bullet"/>
      <w:lvlText w:val=""/>
      <w:lvlJc w:val="left"/>
      <w:pPr>
        <w:ind w:left="6480" w:hanging="360"/>
      </w:pPr>
      <w:rPr>
        <w:rFonts w:ascii="Wingdings" w:hAnsi="Wingdings" w:hint="default"/>
      </w:rPr>
    </w:lvl>
  </w:abstractNum>
  <w:abstractNum w:abstractNumId="1" w15:restartNumberingAfterBreak="0">
    <w:nsid w:val="17E8569B"/>
    <w:multiLevelType w:val="hybridMultilevel"/>
    <w:tmpl w:val="89424046"/>
    <w:lvl w:ilvl="0" w:tplc="FF0C2D4C">
      <w:start w:val="1"/>
      <w:numFmt w:val="decimal"/>
      <w:lvlText w:val="%1."/>
      <w:lvlJc w:val="left"/>
      <w:pPr>
        <w:ind w:left="720" w:hanging="360"/>
      </w:pPr>
    </w:lvl>
    <w:lvl w:ilvl="1" w:tplc="4852E5C6" w:tentative="1">
      <w:start w:val="1"/>
      <w:numFmt w:val="lowerLetter"/>
      <w:lvlText w:val="%2."/>
      <w:lvlJc w:val="left"/>
      <w:pPr>
        <w:ind w:left="1440" w:hanging="360"/>
      </w:pPr>
    </w:lvl>
    <w:lvl w:ilvl="2" w:tplc="7400A2CA" w:tentative="1">
      <w:start w:val="1"/>
      <w:numFmt w:val="lowerRoman"/>
      <w:lvlText w:val="%3."/>
      <w:lvlJc w:val="right"/>
      <w:pPr>
        <w:ind w:left="2160" w:hanging="180"/>
      </w:pPr>
    </w:lvl>
    <w:lvl w:ilvl="3" w:tplc="AF8C4490" w:tentative="1">
      <w:start w:val="1"/>
      <w:numFmt w:val="decimal"/>
      <w:lvlText w:val="%4."/>
      <w:lvlJc w:val="left"/>
      <w:pPr>
        <w:ind w:left="2880" w:hanging="360"/>
      </w:pPr>
    </w:lvl>
    <w:lvl w:ilvl="4" w:tplc="BD62E21E" w:tentative="1">
      <w:start w:val="1"/>
      <w:numFmt w:val="lowerLetter"/>
      <w:lvlText w:val="%5."/>
      <w:lvlJc w:val="left"/>
      <w:pPr>
        <w:ind w:left="3600" w:hanging="360"/>
      </w:pPr>
    </w:lvl>
    <w:lvl w:ilvl="5" w:tplc="35BAAB0C" w:tentative="1">
      <w:start w:val="1"/>
      <w:numFmt w:val="lowerRoman"/>
      <w:lvlText w:val="%6."/>
      <w:lvlJc w:val="right"/>
      <w:pPr>
        <w:ind w:left="4320" w:hanging="180"/>
      </w:pPr>
    </w:lvl>
    <w:lvl w:ilvl="6" w:tplc="92CAEA48" w:tentative="1">
      <w:start w:val="1"/>
      <w:numFmt w:val="decimal"/>
      <w:lvlText w:val="%7."/>
      <w:lvlJc w:val="left"/>
      <w:pPr>
        <w:ind w:left="5040" w:hanging="360"/>
      </w:pPr>
    </w:lvl>
    <w:lvl w:ilvl="7" w:tplc="8350FD6A" w:tentative="1">
      <w:start w:val="1"/>
      <w:numFmt w:val="lowerLetter"/>
      <w:lvlText w:val="%8."/>
      <w:lvlJc w:val="left"/>
      <w:pPr>
        <w:ind w:left="5760" w:hanging="360"/>
      </w:pPr>
    </w:lvl>
    <w:lvl w:ilvl="8" w:tplc="57664C4E" w:tentative="1">
      <w:start w:val="1"/>
      <w:numFmt w:val="lowerRoman"/>
      <w:lvlText w:val="%9."/>
      <w:lvlJc w:val="right"/>
      <w:pPr>
        <w:ind w:left="6480" w:hanging="180"/>
      </w:pPr>
    </w:lvl>
  </w:abstractNum>
  <w:num w:numId="1" w16cid:durableId="1428884556">
    <w:abstractNumId w:val="0"/>
  </w:num>
  <w:num w:numId="2" w16cid:durableId="591663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20"/>
    <w:rsid w:val="00030FE9"/>
    <w:rsid w:val="000400FA"/>
    <w:rsid w:val="00091438"/>
    <w:rsid w:val="00122C45"/>
    <w:rsid w:val="00125CFE"/>
    <w:rsid w:val="0016304C"/>
    <w:rsid w:val="00184822"/>
    <w:rsid w:val="00193E13"/>
    <w:rsid w:val="001B28C7"/>
    <w:rsid w:val="001B2EB7"/>
    <w:rsid w:val="00206F93"/>
    <w:rsid w:val="0022530A"/>
    <w:rsid w:val="00254148"/>
    <w:rsid w:val="002C0BD0"/>
    <w:rsid w:val="002E6AF2"/>
    <w:rsid w:val="00320260"/>
    <w:rsid w:val="00330495"/>
    <w:rsid w:val="003900A5"/>
    <w:rsid w:val="003C5A49"/>
    <w:rsid w:val="003C7ED5"/>
    <w:rsid w:val="003E3AB8"/>
    <w:rsid w:val="00401DA6"/>
    <w:rsid w:val="00417A12"/>
    <w:rsid w:val="00422934"/>
    <w:rsid w:val="00465ED4"/>
    <w:rsid w:val="004A0E8D"/>
    <w:rsid w:val="004A4297"/>
    <w:rsid w:val="004F06AA"/>
    <w:rsid w:val="0053153E"/>
    <w:rsid w:val="00551CD1"/>
    <w:rsid w:val="00583FCE"/>
    <w:rsid w:val="005B52D7"/>
    <w:rsid w:val="005C24F8"/>
    <w:rsid w:val="0061671E"/>
    <w:rsid w:val="006817A7"/>
    <w:rsid w:val="006B38C7"/>
    <w:rsid w:val="006D1AAF"/>
    <w:rsid w:val="006F799E"/>
    <w:rsid w:val="00722827"/>
    <w:rsid w:val="00752A9A"/>
    <w:rsid w:val="00766700"/>
    <w:rsid w:val="0077058E"/>
    <w:rsid w:val="0077547B"/>
    <w:rsid w:val="00776C09"/>
    <w:rsid w:val="0079670A"/>
    <w:rsid w:val="007C2098"/>
    <w:rsid w:val="007C7707"/>
    <w:rsid w:val="007F46A6"/>
    <w:rsid w:val="007F63CC"/>
    <w:rsid w:val="008138DD"/>
    <w:rsid w:val="00821BD0"/>
    <w:rsid w:val="008258E1"/>
    <w:rsid w:val="0084507A"/>
    <w:rsid w:val="00854FCC"/>
    <w:rsid w:val="00861FEA"/>
    <w:rsid w:val="008A0A95"/>
    <w:rsid w:val="008C0E4F"/>
    <w:rsid w:val="008C213D"/>
    <w:rsid w:val="00906C20"/>
    <w:rsid w:val="00906CB5"/>
    <w:rsid w:val="009276DC"/>
    <w:rsid w:val="00947D50"/>
    <w:rsid w:val="009928FF"/>
    <w:rsid w:val="009A356A"/>
    <w:rsid w:val="009B160A"/>
    <w:rsid w:val="009B3BBC"/>
    <w:rsid w:val="009E615E"/>
    <w:rsid w:val="00A135C4"/>
    <w:rsid w:val="00A14EF8"/>
    <w:rsid w:val="00A268C8"/>
    <w:rsid w:val="00A34DC1"/>
    <w:rsid w:val="00A553D8"/>
    <w:rsid w:val="00A7379A"/>
    <w:rsid w:val="00A847CF"/>
    <w:rsid w:val="00AB0DB1"/>
    <w:rsid w:val="00AF70A4"/>
    <w:rsid w:val="00B11A19"/>
    <w:rsid w:val="00B14D7C"/>
    <w:rsid w:val="00B51FE8"/>
    <w:rsid w:val="00B67226"/>
    <w:rsid w:val="00B87DB8"/>
    <w:rsid w:val="00BA38C4"/>
    <w:rsid w:val="00BA53FD"/>
    <w:rsid w:val="00C2396C"/>
    <w:rsid w:val="00C27638"/>
    <w:rsid w:val="00C44C5C"/>
    <w:rsid w:val="00C666E9"/>
    <w:rsid w:val="00D11089"/>
    <w:rsid w:val="00D26F56"/>
    <w:rsid w:val="00D429F6"/>
    <w:rsid w:val="00D50732"/>
    <w:rsid w:val="00D67738"/>
    <w:rsid w:val="00D71D5B"/>
    <w:rsid w:val="00D76E3D"/>
    <w:rsid w:val="00DB4169"/>
    <w:rsid w:val="00ED6BC2"/>
    <w:rsid w:val="00EF2B30"/>
    <w:rsid w:val="00F03609"/>
    <w:rsid w:val="00F05D5F"/>
    <w:rsid w:val="00F1038B"/>
    <w:rsid w:val="00F478F8"/>
    <w:rsid w:val="00F560B0"/>
    <w:rsid w:val="00F60ECC"/>
    <w:rsid w:val="00F76304"/>
    <w:rsid w:val="00FA20BA"/>
    <w:rsid w:val="00FA2FEE"/>
    <w:rsid w:val="00FB4D0E"/>
    <w:rsid w:val="00FD07A8"/>
    <w:rsid w:val="00FD445D"/>
    <w:rsid w:val="00FE7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B06A"/>
  <w15:docId w15:val="{C22B5E0F-DE67-4508-A220-DB5A45E0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18"/>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63CC"/>
    <w:pPr>
      <w:spacing w:before="120"/>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B24C0"/>
  </w:style>
  <w:style w:type="character" w:customStyle="1" w:styleId="PidipaginaCarattere">
    <w:name w:val="Piè di pagina Carattere"/>
    <w:basedOn w:val="Carpredefinitoparagrafo"/>
    <w:link w:val="Pidipagina"/>
    <w:uiPriority w:val="99"/>
    <w:qFormat/>
    <w:rsid w:val="00BB24C0"/>
  </w:style>
  <w:style w:type="character" w:customStyle="1" w:styleId="TestofumettoCarattere">
    <w:name w:val="Testo fumetto Carattere"/>
    <w:basedOn w:val="Carpredefinitoparagrafo"/>
    <w:link w:val="Testofumetto"/>
    <w:uiPriority w:val="99"/>
    <w:semiHidden/>
    <w:qFormat/>
    <w:rsid w:val="00BB24C0"/>
    <w:rPr>
      <w:rFonts w:ascii="Tahoma" w:hAnsi="Tahoma" w:cs="Tahoma"/>
      <w:sz w:val="16"/>
      <w:szCs w:val="16"/>
    </w:rPr>
  </w:style>
  <w:style w:type="character" w:customStyle="1" w:styleId="CollegamentoInternet">
    <w:name w:val="Collegamento Internet"/>
    <w:basedOn w:val="Carpredefinitoparagrafo"/>
    <w:uiPriority w:val="99"/>
    <w:unhideWhenUsed/>
    <w:rsid w:val="000E3CA4"/>
    <w:rPr>
      <w:color w:val="0000FF" w:themeColor="hyperlink"/>
      <w:u w:val="single"/>
    </w:rPr>
  </w:style>
  <w:style w:type="character" w:customStyle="1" w:styleId="CorpotestoCarattere">
    <w:name w:val="Corpo testo Carattere"/>
    <w:basedOn w:val="Carpredefinitoparagrafo"/>
    <w:link w:val="Corpotesto"/>
    <w:qFormat/>
    <w:rsid w:val="00270CC0"/>
    <w:rPr>
      <w:rFonts w:eastAsia="Times New Roman" w:cs="Times New Roman"/>
      <w:sz w:val="20"/>
      <w:szCs w:val="24"/>
      <w:lang w:eastAsia="ar-SA"/>
    </w:rPr>
  </w:style>
  <w:style w:type="character" w:customStyle="1" w:styleId="vistoCarattere">
    <w:name w:val="visto Carattere"/>
    <w:basedOn w:val="Carpredefinitoparagrafo"/>
    <w:qFormat/>
    <w:rsid w:val="00270CC0"/>
    <w:rPr>
      <w:rFonts w:eastAsia="Times New Roman" w:cs="Times New Roman"/>
      <w:sz w:val="20"/>
      <w:szCs w:val="20"/>
      <w:lang w:eastAsia="ar-SA"/>
    </w:rPr>
  </w:style>
  <w:style w:type="character" w:styleId="Enfasigrassetto">
    <w:name w:val="Strong"/>
    <w:basedOn w:val="Carpredefinitoparagrafo"/>
    <w:uiPriority w:val="22"/>
    <w:qFormat/>
    <w:rsid w:val="00364E77"/>
    <w:rPr>
      <w:b/>
      <w:bCs/>
    </w:rPr>
  </w:style>
  <w:style w:type="character" w:customStyle="1" w:styleId="TestonotaapidipaginaCarattere">
    <w:name w:val="Testo nota a piè di pagina Carattere"/>
    <w:basedOn w:val="Carpredefinitoparagrafo"/>
    <w:link w:val="Testonotaapidipagina"/>
    <w:uiPriority w:val="99"/>
    <w:semiHidden/>
    <w:qFormat/>
    <w:rsid w:val="001752AA"/>
    <w:rPr>
      <w:rFonts w:ascii="Calibri" w:hAnsi="Calibri" w:cs="Times New Roman"/>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752AA"/>
    <w:rPr>
      <w:vertAlign w:val="superscript"/>
    </w:rPr>
  </w:style>
  <w:style w:type="character" w:customStyle="1" w:styleId="RientrocorpodeltestoCarattere">
    <w:name w:val="Rientro corpo del testo Carattere"/>
    <w:basedOn w:val="Carpredefinitoparagrafo"/>
    <w:link w:val="Rientrocorpodeltesto"/>
    <w:uiPriority w:val="99"/>
    <w:semiHidden/>
    <w:qFormat/>
    <w:rsid w:val="00A1715C"/>
  </w:style>
  <w:style w:type="character" w:customStyle="1" w:styleId="SottotitoloCarattere">
    <w:name w:val="Sottotitolo Carattere"/>
    <w:basedOn w:val="Carpredefinitoparagrafo"/>
    <w:link w:val="Sottotitolo"/>
    <w:uiPriority w:val="99"/>
    <w:qFormat/>
    <w:rsid w:val="00136D83"/>
    <w:rPr>
      <w:rFonts w:ascii="Times New Roman" w:eastAsiaTheme="minorEastAsia" w:hAnsi="Times New Roman" w:cs="Times New Roman"/>
      <w:sz w:val="28"/>
      <w:szCs w:val="28"/>
      <w:lang w:eastAsia="it-IT"/>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link w:val="CorpotestoCarattere"/>
    <w:rsid w:val="00270CC0"/>
    <w:pPr>
      <w:spacing w:after="120"/>
    </w:pPr>
    <w:rPr>
      <w:rFonts w:eastAsia="Times New Roman" w:cs="Times New Roman"/>
      <w:sz w:val="20"/>
      <w:szCs w:val="24"/>
      <w:lang w:eastAsia="ar-SA"/>
    </w:rPr>
  </w:style>
  <w:style w:type="paragraph" w:styleId="Elenco">
    <w:name w:val="List"/>
    <w:basedOn w:val="Corpotesto"/>
    <w:rPr>
      <w:rFonts w:cs="Arial"/>
    </w:rPr>
  </w:style>
  <w:style w:type="paragraph" w:styleId="Didascalia">
    <w:name w:val="caption"/>
    <w:basedOn w:val="Normale"/>
    <w:qFormat/>
    <w:pPr>
      <w:suppressLineNumbers/>
      <w:spacing w:after="120"/>
    </w:pPr>
    <w:rPr>
      <w:i/>
      <w:iCs/>
      <w:sz w:val="24"/>
      <w:szCs w:val="24"/>
    </w:rPr>
  </w:style>
  <w:style w:type="paragraph" w:customStyle="1" w:styleId="Indice">
    <w:name w:val="Indice"/>
    <w:basedOn w:val="Normale"/>
    <w:qFormat/>
    <w:pPr>
      <w:suppressLineNumbers/>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B24C0"/>
    <w:pPr>
      <w:tabs>
        <w:tab w:val="center" w:pos="4819"/>
        <w:tab w:val="right" w:pos="9638"/>
      </w:tabs>
    </w:pPr>
  </w:style>
  <w:style w:type="paragraph" w:styleId="Pidipagina">
    <w:name w:val="footer"/>
    <w:basedOn w:val="Normale"/>
    <w:link w:val="PidipaginaCarattere"/>
    <w:uiPriority w:val="99"/>
    <w:unhideWhenUsed/>
    <w:rsid w:val="00BB24C0"/>
    <w:pPr>
      <w:tabs>
        <w:tab w:val="center" w:pos="4819"/>
        <w:tab w:val="right" w:pos="9638"/>
      </w:tabs>
    </w:pPr>
  </w:style>
  <w:style w:type="paragraph" w:styleId="Testofumetto">
    <w:name w:val="Balloon Text"/>
    <w:basedOn w:val="Normale"/>
    <w:link w:val="TestofumettoCarattere"/>
    <w:uiPriority w:val="99"/>
    <w:semiHidden/>
    <w:unhideWhenUsed/>
    <w:qFormat/>
    <w:rsid w:val="00BB24C0"/>
    <w:rPr>
      <w:rFonts w:ascii="Tahoma" w:hAnsi="Tahoma" w:cs="Tahoma"/>
      <w:sz w:val="16"/>
      <w:szCs w:val="16"/>
    </w:rPr>
  </w:style>
  <w:style w:type="paragraph" w:styleId="Paragrafoelenco">
    <w:name w:val="List Paragraph"/>
    <w:basedOn w:val="Normale"/>
    <w:uiPriority w:val="34"/>
    <w:qFormat/>
    <w:rsid w:val="008D7150"/>
    <w:pPr>
      <w:ind w:left="720"/>
      <w:contextualSpacing/>
    </w:pPr>
  </w:style>
  <w:style w:type="paragraph" w:customStyle="1" w:styleId="Destinatari">
    <w:name w:val="Destinatari"/>
    <w:basedOn w:val="Normale"/>
    <w:qFormat/>
    <w:rsid w:val="00270CC0"/>
    <w:pPr>
      <w:tabs>
        <w:tab w:val="left" w:pos="24822"/>
        <w:tab w:val="left" w:pos="28898"/>
      </w:tabs>
      <w:spacing w:before="240" w:line="280" w:lineRule="exact"/>
      <w:ind w:left="4082"/>
    </w:pPr>
    <w:rPr>
      <w:rFonts w:eastAsia="Times New Roman"/>
      <w:sz w:val="20"/>
      <w:szCs w:val="24"/>
      <w:lang w:eastAsia="ar-SA"/>
    </w:rPr>
  </w:style>
  <w:style w:type="paragraph" w:customStyle="1" w:styleId="visto">
    <w:name w:val="visto"/>
    <w:basedOn w:val="Normale"/>
    <w:qFormat/>
    <w:rsid w:val="00270CC0"/>
    <w:pPr>
      <w:spacing w:after="240" w:line="360" w:lineRule="exact"/>
      <w:ind w:left="1701" w:hanging="1701"/>
    </w:pPr>
    <w:rPr>
      <w:rFonts w:eastAsia="Times New Roman" w:cs="Times New Roman"/>
      <w:sz w:val="20"/>
      <w:szCs w:val="20"/>
      <w:lang w:eastAsia="ar-SA"/>
    </w:rPr>
  </w:style>
  <w:style w:type="paragraph" w:customStyle="1" w:styleId="titolodeterminaz">
    <w:name w:val="titolo determinaz"/>
    <w:basedOn w:val="Normale"/>
    <w:next w:val="Normale"/>
    <w:qFormat/>
    <w:rsid w:val="00270CC0"/>
    <w:pPr>
      <w:spacing w:before="480" w:after="480" w:line="360" w:lineRule="exact"/>
      <w:jc w:val="center"/>
    </w:pPr>
    <w:rPr>
      <w:rFonts w:ascii="Futura Std Book" w:eastAsia="Times New Roman" w:hAnsi="Futura Std Book" w:cs="Times New Roman"/>
      <w:b/>
      <w:szCs w:val="20"/>
      <w:lang w:eastAsia="ar-SA"/>
    </w:rPr>
  </w:style>
  <w:style w:type="paragraph" w:customStyle="1" w:styleId="c61">
    <w:name w:val="c61"/>
    <w:basedOn w:val="Normale"/>
    <w:qFormat/>
    <w:rsid w:val="00270CC0"/>
    <w:pPr>
      <w:spacing w:beforeAutospacing="1" w:afterAutospacing="1"/>
      <w:jc w:val="center"/>
    </w:pPr>
    <w:rPr>
      <w:rFonts w:ascii="Trebuchet MS" w:eastAsia="Times New Roman" w:hAnsi="Trebuchet MS" w:cs="Times New Roman"/>
      <w:color w:val="333333"/>
      <w:sz w:val="13"/>
      <w:szCs w:val="13"/>
      <w:lang w:eastAsia="it-IT"/>
    </w:rPr>
  </w:style>
  <w:style w:type="paragraph" w:customStyle="1" w:styleId="Standard">
    <w:name w:val="Standard"/>
    <w:qFormat/>
    <w:rsid w:val="0098780A"/>
    <w:pPr>
      <w:widowControl w:val="0"/>
      <w:textAlignment w:val="baseline"/>
    </w:pPr>
    <w:rPr>
      <w:rFonts w:ascii="Times New Roman" w:eastAsia="SimSun" w:hAnsi="Times New Roman" w:cs="Mangal"/>
      <w:kern w:val="2"/>
      <w:sz w:val="24"/>
      <w:szCs w:val="24"/>
      <w:lang w:eastAsia="zh-CN" w:bidi="hi-IN"/>
    </w:rPr>
  </w:style>
  <w:style w:type="paragraph" w:styleId="Testonotaapidipagina">
    <w:name w:val="footnote text"/>
    <w:basedOn w:val="Normale"/>
    <w:link w:val="TestonotaapidipaginaCarattere"/>
    <w:uiPriority w:val="99"/>
    <w:semiHidden/>
    <w:unhideWhenUsed/>
    <w:rsid w:val="001752AA"/>
    <w:rPr>
      <w:rFonts w:ascii="Calibri" w:hAnsi="Calibri" w:cs="Times New Roman"/>
      <w:sz w:val="20"/>
      <w:szCs w:val="20"/>
    </w:rPr>
  </w:style>
  <w:style w:type="paragraph" w:styleId="Rientrocorpodeltesto">
    <w:name w:val="Body Text Indent"/>
    <w:basedOn w:val="Normale"/>
    <w:link w:val="RientrocorpodeltestoCarattere"/>
    <w:uiPriority w:val="99"/>
    <w:semiHidden/>
    <w:unhideWhenUsed/>
    <w:rsid w:val="00A1715C"/>
    <w:pPr>
      <w:spacing w:after="120"/>
      <w:ind w:left="283"/>
    </w:pPr>
  </w:style>
  <w:style w:type="paragraph" w:customStyle="1" w:styleId="Crs">
    <w:name w:val="Crs"/>
    <w:basedOn w:val="Normale"/>
    <w:qFormat/>
    <w:rsid w:val="008E53C3"/>
    <w:pPr>
      <w:spacing w:after="240"/>
      <w:jc w:val="center"/>
    </w:pPr>
    <w:rPr>
      <w:rFonts w:ascii="Book Antiqua" w:eastAsia="Times New Roman" w:hAnsi="Book Antiqua" w:cs="Times New Roman"/>
      <w:b/>
      <w:smallCaps/>
      <w:sz w:val="28"/>
      <w:szCs w:val="28"/>
      <w:lang w:eastAsia="it-IT"/>
    </w:rPr>
  </w:style>
  <w:style w:type="paragraph" w:styleId="Sottotitolo">
    <w:name w:val="Subtitle"/>
    <w:basedOn w:val="Normale"/>
    <w:link w:val="SottotitoloCarattere"/>
    <w:uiPriority w:val="99"/>
    <w:qFormat/>
    <w:rsid w:val="00136D83"/>
    <w:pPr>
      <w:jc w:val="center"/>
    </w:pPr>
    <w:rPr>
      <w:rFonts w:eastAsiaTheme="minorEastAsia" w:cs="Times New Roman"/>
      <w:sz w:val="28"/>
      <w:szCs w:val="28"/>
      <w:lang w:eastAsia="it-IT"/>
    </w:rPr>
  </w:style>
  <w:style w:type="table" w:styleId="Grigliatabella">
    <w:name w:val="Table Grid"/>
    <w:basedOn w:val="Tabellanormale"/>
    <w:uiPriority w:val="59"/>
    <w:rsid w:val="00592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3">
    <w:name w:val="Light List Accent 3"/>
    <w:basedOn w:val="Tabellanormale"/>
    <w:uiPriority w:val="61"/>
    <w:rsid w:val="004E7FF7"/>
    <w:rPr>
      <w:rFonts w:asciiTheme="minorHAnsi" w:eastAsiaTheme="minorEastAsia" w:hAnsiTheme="minorHAnsi" w:cstheme="minorBidi"/>
      <w:sz w:val="22"/>
      <w:lang w:eastAsia="it-IT"/>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GServp1">
    <w:name w:val="DG_Serv p1"/>
    <w:basedOn w:val="Normale"/>
    <w:qFormat/>
    <w:rsid w:val="00330495"/>
    <w:pPr>
      <w:spacing w:before="0" w:after="60" w:line="200" w:lineRule="exact"/>
      <w:jc w:val="left"/>
    </w:pPr>
    <w:rPr>
      <w:rFonts w:ascii="Futura Std Book" w:eastAsia="Times New Roman" w:hAnsi="Futura Std Book"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DACB0-A131-4614-B5F2-9B668E6C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1257</Words>
  <Characters>7167</Characters>
  <Application>Microsoft Office Word</Application>
  <DocSecurity>0</DocSecurity>
  <Lines>59</Lines>
  <Paragraphs>16</Paragraphs>
  <ScaleCrop>false</ScaleCrop>
  <Company>Your Company Name</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Stefania Orofino</cp:lastModifiedBy>
  <cp:revision>2</cp:revision>
  <cp:lastPrinted>2019-07-03T09:07:00Z</cp:lastPrinted>
  <dcterms:created xsi:type="dcterms:W3CDTF">2025-09-04T10:33:00Z</dcterms:created>
  <dcterms:modified xsi:type="dcterms:W3CDTF">2025-09-04T10:33:00Z</dcterms:modified>
  <dc:language>it-IT</dc:language>
</cp:coreProperties>
</file>